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
        <w:jc w:val="center"/>
      </w:pPr>
      <w:r>
        <w:rPr>
          <w:rFonts w:ascii="Arial" w:cs="Arial" w:eastAsia="Arial" w:hAnsi="Arial"/>
          <w:b/>
          <w:bCs/>
          <w:color w:val="1A7FD0"/>
          <w:sz w:val="32"/>
          <w:szCs w:val="32"/>
        </w:rPr>
        <w:t xml:space="preserve">ПОЛИТИКА В ОТНОШЕНИИ ОБРАБОТКИ ПЕРСОНАЛЬНЫХ ДАННЫХ</w:t>
      </w:r>
    </w:p>
    <w:p>
      <w:pPr>
        <w:spacing w:after="200"/>
        <w:jc w:val="center"/>
      </w:pPr>
      <w:r>
        <w:rPr>
          <w:rFonts w:ascii="Arial" w:cs="Arial" w:eastAsia="Arial" w:hAnsi="Arial"/>
          <w:b/>
          <w:bCs/>
          <w:color w:val="444444"/>
          <w:sz w:val="21"/>
          <w:szCs w:val="21"/>
        </w:rPr>
        <w:t xml:space="preserve">сайты salevps.net и my.salevps.net, услуги SaleVPS.net</w:t>
      </w:r>
    </w:p>
    <w:p>
      <w:pPr>
        <w:spacing w:after="80"/>
        <w:jc w:val="left"/>
      </w:pPr>
      <w:r>
        <w:rPr>
          <w:rFonts w:ascii="Arial" w:cs="Arial" w:eastAsia="Arial" w:hAnsi="Arial"/>
          <w:color w:val="222222"/>
          <w:sz w:val="20"/>
          <w:szCs w:val="20"/>
        </w:rPr>
        <w:t xml:space="preserve">Дата публикации: «03» ноября 2026 г. Редакция № 1.</w:t>
      </w:r>
    </w:p>
    <w:p>
      <w:pPr>
        <w:spacing w:after="80"/>
        <w:jc w:val="left"/>
      </w:pPr>
      <w:r>
        <w:rPr>
          <w:rFonts w:ascii="Arial" w:cs="Arial" w:eastAsia="Arial" w:hAnsi="Arial"/>
          <w:color w:val="222222"/>
          <w:sz w:val="20"/>
          <w:szCs w:val="20"/>
        </w:rPr>
        <w:t xml:space="preserve">Настоящая Политика вступает в силу с момента её публикации на Официальном сайте и действует бессрочно до её замены новой редакцией.</w:t>
      </w:r>
    </w:p>
    <w:tbl>
      <w:tblPr>
        <w:tblW w:type="dxa" w:w="15138"/>
        <w:tblBorders>
          <w:top w:val="single" w:color="D6E4EF" w:sz="4"/>
          <w:left w:val="single" w:color="D6E4EF" w:sz="4"/>
          <w:bottom w:val="single" w:color="D6E4EF" w:sz="4"/>
          <w:right w:val="single" w:color="D6E4EF" w:sz="4"/>
          <w:insideH w:val="single" w:color="D6E4EF" w:sz="4"/>
          <w:insideV w:val="single" w:color="D6E4EF" w:sz="4"/>
        </w:tblBorders>
      </w:tblPr>
      <w:tblGrid>
        <w:gridCol w:w="3200"/>
        <w:gridCol w:w="11938"/>
      </w:tblGrid>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 Общие положения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1.1. Настоящая Политика в отношении обработки персональных данных (далее — «Политика») разработана в соответствии с Федеральным законом от 27.07.2006 № 152-ФЗ «О персональных данных» (далее — «Закон о персональных данных») и определяет порядок и условия обработки персональных данных, меры по их защите, а также права субъектов персональных данных.</w:t>
            </w:r>
          </w:p>
          <w:p>
            <w:pPr>
              <w:spacing w:after="90"/>
              <w:jc w:val="both"/>
            </w:pPr>
            <w:r>
              <w:rPr>
                <w:rFonts w:ascii="Arial" w:cs="Arial" w:eastAsia="Arial" w:hAnsi="Arial"/>
                <w:b w:val="false"/>
                <w:bCs w:val="false"/>
                <w:color w:val="222222"/>
                <w:sz w:val="20"/>
                <w:szCs w:val="20"/>
              </w:rPr>
              <w:t xml:space="preserve">1.2. Оператором персональных данных является Общество с ограниченной ответственностью «ИТБОТС» (ООО «ИТБОТС»), ОГРН 1214700014275, ИНН 4703185659, адрес: 188678, Ленинградская область, Всеволожский р-н, г. Мурино, ул. Шоссе в Лаврики, д. 59, к. 2, кв. 887 (далее — «Оператор»), оказывающее услуги хостинга и аренды серверов под коммерческим обозначением SaleVPS.net.</w:t>
            </w:r>
          </w:p>
          <w:p>
            <w:pPr>
              <w:spacing w:after="90"/>
              <w:jc w:val="both"/>
            </w:pPr>
            <w:r>
              <w:rPr>
                <w:rFonts w:ascii="Arial" w:cs="Arial" w:eastAsia="Arial" w:hAnsi="Arial"/>
                <w:b w:val="false"/>
                <w:bCs w:val="false"/>
                <w:color w:val="222222"/>
                <w:sz w:val="20"/>
                <w:szCs w:val="20"/>
              </w:rPr>
              <w:t xml:space="preserve">1.3. Политика применяется к персональным данным, которые Оператор получает от посетителей и пользователей сайтов https://salevps.net и https://my.salevps.net (далее вместе — «Сайт»), а также от клиентов при заключении и исполнении договоров на оказание услуг SaleVPS.net (далее — «Услуги»).</w:t>
            </w:r>
          </w:p>
          <w:p>
            <w:pPr>
              <w:spacing w:after="90"/>
              <w:jc w:val="both"/>
            </w:pPr>
            <w:r>
              <w:rPr>
                <w:rFonts w:ascii="Arial" w:cs="Arial" w:eastAsia="Arial" w:hAnsi="Arial"/>
                <w:b w:val="false"/>
                <w:bCs w:val="false"/>
                <w:color w:val="222222"/>
                <w:sz w:val="20"/>
                <w:szCs w:val="20"/>
              </w:rPr>
              <w:t xml:space="preserve">1.4. Термины «Клиент», «Учётная запись», «Личный кабинет», «Тикет-система» используются в значениях, установленных Публичной офертой о предоставлении услуг хостинга и аренды виртуальных серверов SaleVPS.net (далее — «Оферта»). Иные термины используются в значениях, установленных Законом о персональных данных.</w:t>
            </w:r>
          </w:p>
          <w:p>
            <w:pPr>
              <w:spacing w:after="90"/>
              <w:jc w:val="both"/>
            </w:pPr>
            <w:r>
              <w:rPr>
                <w:rFonts w:ascii="Arial" w:cs="Arial" w:eastAsia="Arial" w:hAnsi="Arial"/>
                <w:b w:val="false"/>
                <w:bCs w:val="false"/>
                <w:color w:val="222222"/>
                <w:sz w:val="20"/>
                <w:szCs w:val="20"/>
              </w:rPr>
              <w:t xml:space="preserve">1.5. Использование Сайта, регистрация Учётной записи или заказ Услуг означает ознакомление субъекта с настоящей Политикой. Ознакомление с Политикой не является согласием на обработку персональных данных; в случаях, когда согласие требуется в силу закона, оно запрашивается отдельно.</w:t>
            </w:r>
          </w:p>
          <w:p>
            <w:pPr>
              <w:spacing w:after="90"/>
              <w:jc w:val="both"/>
            </w:pPr>
            <w:r>
              <w:rPr>
                <w:rFonts w:ascii="Arial" w:cs="Arial" w:eastAsia="Arial" w:hAnsi="Arial"/>
                <w:b w:val="false"/>
                <w:bCs w:val="false"/>
                <w:color w:val="222222"/>
                <w:sz w:val="20"/>
                <w:szCs w:val="20"/>
              </w:rPr>
              <w:t xml:space="preserve">1.6. Политика опубликована в свободном доступе на Сайте во исполнение части 2 статьи 18.1 Закона о персональных данных.</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2. Состав обрабатываемых персональных данных</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2.1. Данные Учётной записи и контактные данные: адрес электронной почты; фамилия, имя, отчество (если указаны); номер телефона; страна и адрес (если указаны); логин и идентификатор Учётной записи; сведения об аутентификации.</w:t>
            </w:r>
          </w:p>
          <w:p>
            <w:pPr>
              <w:spacing w:after="90"/>
              <w:jc w:val="both"/>
            </w:pPr>
            <w:r>
              <w:rPr>
                <w:rFonts w:ascii="Arial" w:cs="Arial" w:eastAsia="Arial" w:hAnsi="Arial"/>
                <w:b w:val="false"/>
                <w:bCs w:val="false"/>
                <w:color w:val="222222"/>
                <w:sz w:val="20"/>
                <w:szCs w:val="20"/>
              </w:rPr>
              <w:t xml:space="preserve">2.2. Данные для заключения договора и выставления документов: для физических лиц — сведения, необходимые для идентификации Клиента и оформления платёжных и учётных документов; для представителей юридических лиц и индивидуальных предпринимателей — наименование, ИНН, ОГРН, адрес, должность и контактные данные представителя.</w:t>
            </w:r>
          </w:p>
          <w:p>
            <w:pPr>
              <w:spacing w:after="90"/>
              <w:jc w:val="both"/>
            </w:pPr>
            <w:r>
              <w:rPr>
                <w:rFonts w:ascii="Arial" w:cs="Arial" w:eastAsia="Arial" w:hAnsi="Arial"/>
                <w:b w:val="false"/>
                <w:bCs w:val="false"/>
                <w:color w:val="222222"/>
                <w:sz w:val="20"/>
                <w:szCs w:val="20"/>
              </w:rPr>
              <w:t xml:space="preserve">2.3. Платёжные данные и данные о расчётах: заказы, Тарифы, история платежей и состояние Лицевого счёта; при оплате банковской картой или через платёжный сервис — маскированные реквизиты карты и идентификаторы операции. Полные номера банковских карт Оператор не получает и не хранит: оплата проводится на стороне платёжного сервиса.</w:t>
            </w:r>
          </w:p>
          <w:p>
            <w:pPr>
              <w:spacing w:after="90"/>
              <w:jc w:val="both"/>
            </w:pPr>
            <w:r>
              <w:rPr>
                <w:rFonts w:ascii="Arial" w:cs="Arial" w:eastAsia="Arial" w:hAnsi="Arial"/>
                <w:b w:val="false"/>
                <w:bCs w:val="false"/>
                <w:color w:val="222222"/>
                <w:sz w:val="20"/>
                <w:szCs w:val="20"/>
              </w:rPr>
              <w:t xml:space="preserve">2.4. Технические и служебные данные: IP-адреса, журналы (log-файлы), сведения о браузере и устройстве, дата и время доступа, действия в Личном кабинете, идентификаторы услуг и серверов, назначенные IP-адреса, выбранные конфигурация и локация, сведения об использовании ресурсов, доступности, событиях доступа и безопасности, abuse-обращениях и связанные метаданные.</w:t>
            </w:r>
          </w:p>
          <w:p>
            <w:pPr>
              <w:spacing w:after="90"/>
              <w:jc w:val="both"/>
            </w:pPr>
            <w:r>
              <w:rPr>
                <w:rFonts w:ascii="Arial" w:cs="Arial" w:eastAsia="Arial" w:hAnsi="Arial"/>
                <w:b w:val="false"/>
                <w:bCs w:val="false"/>
                <w:color w:val="222222"/>
                <w:sz w:val="20"/>
                <w:szCs w:val="20"/>
              </w:rPr>
              <w:t xml:space="preserve">2.5. Файлы cookie: идентификаторы сессии и технические cookie, необходимые для работы Сайта и Личного кабинета (авторизация, сохранение выбранного языка и валюты, защита от несанкционированного доступа).</w:t>
            </w:r>
          </w:p>
          <w:p>
            <w:pPr>
              <w:spacing w:after="90"/>
              <w:jc w:val="both"/>
            </w:pPr>
            <w:r>
              <w:rPr>
                <w:rFonts w:ascii="Arial" w:cs="Arial" w:eastAsia="Arial" w:hAnsi="Arial"/>
                <w:b w:val="false"/>
                <w:bCs w:val="false"/>
                <w:color w:val="222222"/>
                <w:sz w:val="20"/>
                <w:szCs w:val="20"/>
              </w:rPr>
              <w:t xml:space="preserve">2.6. Переписка: сообщения в Тикет-системе, в Telegram-боте поддержки и по электронной почте, обращения, жалобы и иные сообщения, направленные Оператору.</w:t>
            </w:r>
          </w:p>
          <w:p>
            <w:pPr>
              <w:spacing w:after="90"/>
              <w:jc w:val="both"/>
            </w:pPr>
            <w:r>
              <w:rPr>
                <w:rFonts w:ascii="Arial" w:cs="Arial" w:eastAsia="Arial" w:hAnsi="Arial"/>
                <w:b w:val="false"/>
                <w:bCs w:val="false"/>
                <w:color w:val="222222"/>
                <w:sz w:val="20"/>
                <w:szCs w:val="20"/>
              </w:rPr>
              <w:t xml:space="preserve">2.7. Оператор не обрабатывает специальные категории персональных данных и биометрические персональные данные. Субъекту не следует предоставлять такие данные.</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3. Цели и правовые основания обработки</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3.1. Регистрация и ведение Учётной записи, заключение и исполнение договора, оказание Услуг, проведение расчётов и возвратов, техническая поддержка и направление уведомлений, связанных с исполнением договора. Правовое основание — исполнение договора, стороной которого является субъект, и заключение договора по его инициативе (пункт 5 части 1 статьи 6 Закона о персональных данных).</w:t>
            </w:r>
          </w:p>
          <w:p>
            <w:pPr>
              <w:spacing w:after="90"/>
              <w:jc w:val="both"/>
            </w:pPr>
            <w:r>
              <w:rPr>
                <w:rFonts w:ascii="Arial" w:cs="Arial" w:eastAsia="Arial" w:hAnsi="Arial"/>
                <w:b w:val="false"/>
                <w:bCs w:val="false"/>
                <w:color w:val="222222"/>
                <w:sz w:val="20"/>
                <w:szCs w:val="20"/>
              </w:rPr>
              <w:t xml:space="preserve">3.2. Исполнение обязанностей, возложенных на Оператора законодательством, включая бухгалтерский и налоговый учёт, применение контрольно-кассовой техники, а также исполнение обязательных требований компетентных органов. Правовое основание — пункт 2 части 1 статьи 6 Закона о персональных данных.</w:t>
            </w:r>
          </w:p>
          <w:p>
            <w:pPr>
              <w:spacing w:after="90"/>
              <w:jc w:val="both"/>
            </w:pPr>
            <w:r>
              <w:rPr>
                <w:rFonts w:ascii="Arial" w:cs="Arial" w:eastAsia="Arial" w:hAnsi="Arial"/>
                <w:b w:val="false"/>
                <w:bCs w:val="false"/>
                <w:color w:val="222222"/>
                <w:sz w:val="20"/>
                <w:szCs w:val="20"/>
              </w:rPr>
              <w:t xml:space="preserve">3.3. Обеспечение безопасности и стабильности инфраструктуры, предотвращение мошенничества и злоупотреблений, применение Оферты и Политики допустимого использования (AUP), расследование инцидентов, защита прав и законных интересов Оператора. Правовое основание — пункт 7 части 1 статьи 6 Закона о персональных данных при условии, что при этом не нарушаются права и свободы субъекта.</w:t>
            </w:r>
          </w:p>
          <w:p>
            <w:pPr>
              <w:spacing w:after="90"/>
              <w:jc w:val="both"/>
            </w:pPr>
            <w:r>
              <w:rPr>
                <w:rFonts w:ascii="Arial" w:cs="Arial" w:eastAsia="Arial" w:hAnsi="Arial"/>
                <w:b w:val="false"/>
                <w:bCs w:val="false"/>
                <w:color w:val="222222"/>
                <w:sz w:val="20"/>
                <w:szCs w:val="20"/>
              </w:rPr>
              <w:t xml:space="preserve">3.4. Направление информационных и рекламных сообщений, не связанных с исполнением договора, — только при наличии отдельного согласия субъекта (пункт 1 части 1 статьи 6 Закона о персональных данных, статья 18 Федерального закона «О рекламе»). Согласие может быть отозвано в любой момент.</w:t>
            </w:r>
          </w:p>
          <w:p>
            <w:pPr>
              <w:spacing w:after="90"/>
              <w:jc w:val="both"/>
            </w:pPr>
            <w:r>
              <w:rPr>
                <w:rFonts w:ascii="Arial" w:cs="Arial" w:eastAsia="Arial" w:hAnsi="Arial"/>
                <w:b w:val="false"/>
                <w:bCs w:val="false"/>
                <w:color w:val="222222"/>
                <w:sz w:val="20"/>
                <w:szCs w:val="20"/>
              </w:rPr>
              <w:t xml:space="preserve">3.5. Оператор не принимает решений, порождающих юридические последствия для субъекта, на основании исключительно автоматизированной обработки его персональных данных.</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4. Порядок и условия обработки</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4.1. Обработка включает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и уничтожение персональных данных, с использованием средств автоматизации и без них.</w:t>
            </w:r>
          </w:p>
          <w:p>
            <w:pPr>
              <w:spacing w:after="90"/>
              <w:jc w:val="both"/>
            </w:pPr>
            <w:r>
              <w:rPr>
                <w:rFonts w:ascii="Arial" w:cs="Arial" w:eastAsia="Arial" w:hAnsi="Arial"/>
                <w:b w:val="false"/>
                <w:bCs w:val="false"/>
                <w:color w:val="222222"/>
                <w:sz w:val="20"/>
                <w:szCs w:val="20"/>
              </w:rPr>
              <w:t xml:space="preserve">4.2. Запись, систематизация, накопление, хранение, уточнение и извлечение персональных данных граждан Российской Федерации осуществляются с использованием баз данных, находящихся на территории Российской Федерации (часть 5 статьи 18 Закона о персональных данных).</w:t>
            </w:r>
          </w:p>
          <w:p>
            <w:pPr>
              <w:spacing w:after="90"/>
              <w:jc w:val="both"/>
            </w:pPr>
            <w:r>
              <w:rPr>
                <w:rFonts w:ascii="Arial" w:cs="Arial" w:eastAsia="Arial" w:hAnsi="Arial"/>
                <w:b w:val="false"/>
                <w:bCs w:val="false"/>
                <w:color w:val="222222"/>
                <w:sz w:val="20"/>
                <w:szCs w:val="20"/>
              </w:rPr>
              <w:t xml:space="preserve">4.3. Оператор не продаёт персональные данные. Персональные данные могут быть переданы только в объёме, необходимом для соответствующей цели:</w:t>
            </w:r>
          </w:p>
          <w:p>
            <w:pPr>
              <w:spacing w:after="90"/>
              <w:jc w:val="both"/>
            </w:pPr>
            <w:r>
              <w:rPr>
                <w:rFonts w:ascii="Arial" w:cs="Arial" w:eastAsia="Arial" w:hAnsi="Arial"/>
                <w:b w:val="false"/>
                <w:bCs w:val="false"/>
                <w:color w:val="222222"/>
                <w:sz w:val="20"/>
                <w:szCs w:val="20"/>
              </w:rPr>
              <w:t xml:space="preserve">а) платёжным сервисам и кредитным организациям — для проведения и подтверждения платежей и возвратов;</w:t>
            </w:r>
          </w:p>
          <w:p>
            <w:pPr>
              <w:spacing w:after="90"/>
              <w:jc w:val="both"/>
            </w:pPr>
            <w:r>
              <w:rPr>
                <w:rFonts w:ascii="Arial" w:cs="Arial" w:eastAsia="Arial" w:hAnsi="Arial"/>
                <w:b w:val="false"/>
                <w:bCs w:val="false"/>
                <w:color w:val="222222"/>
                <w:sz w:val="20"/>
                <w:szCs w:val="20"/>
              </w:rPr>
              <w:t xml:space="preserve">б) операторам фискальных данных — для направления кассовых чеков в случаях, предусмотренных законодательством;</w:t>
            </w:r>
          </w:p>
          <w:p>
            <w:pPr>
              <w:spacing w:after="90"/>
              <w:jc w:val="both"/>
            </w:pPr>
            <w:r>
              <w:rPr>
                <w:rFonts w:ascii="Arial" w:cs="Arial" w:eastAsia="Arial" w:hAnsi="Arial"/>
                <w:b w:val="false"/>
                <w:bCs w:val="false"/>
                <w:color w:val="222222"/>
                <w:sz w:val="20"/>
                <w:szCs w:val="20"/>
              </w:rPr>
              <w:t xml:space="preserve">в) поставщикам вычислительных мощностей и дата-центрам, на базе которых оказываются Услуги, — исключительно в объёме технических сведений, необходимых для создания и обслуживания сервера (конфигурация, операционная система, сетевые параметры); персональные данные Клиента таким поставщикам не передаются, за исключением случаев, когда это прямо необходимо для рассмотрения abuse-обращения или исполнения требования закона;</w:t>
            </w:r>
          </w:p>
          <w:p>
            <w:pPr>
              <w:spacing w:after="90"/>
              <w:jc w:val="both"/>
            </w:pPr>
            <w:r>
              <w:rPr>
                <w:rFonts w:ascii="Arial" w:cs="Arial" w:eastAsia="Arial" w:hAnsi="Arial"/>
                <w:b w:val="false"/>
                <w:bCs w:val="false"/>
                <w:color w:val="222222"/>
                <w:sz w:val="20"/>
                <w:szCs w:val="20"/>
              </w:rPr>
              <w:t xml:space="preserve">г) компетентным государственным органам — при наличии законных оснований;</w:t>
            </w:r>
          </w:p>
          <w:p>
            <w:pPr>
              <w:spacing w:after="90"/>
              <w:jc w:val="both"/>
            </w:pPr>
            <w:r>
              <w:rPr>
                <w:rFonts w:ascii="Arial" w:cs="Arial" w:eastAsia="Arial" w:hAnsi="Arial"/>
                <w:b w:val="false"/>
                <w:bCs w:val="false"/>
                <w:color w:val="222222"/>
                <w:sz w:val="20"/>
                <w:szCs w:val="20"/>
              </w:rPr>
              <w:t xml:space="preserve">д) лицам, оказывающим Оператору юридические, бухгалтерские и иные профессиональные услуги, — при условии соблюдения конфиденциальности.</w:t>
            </w:r>
          </w:p>
          <w:p>
            <w:pPr>
              <w:spacing w:after="90"/>
              <w:jc w:val="both"/>
            </w:pPr>
            <w:r>
              <w:rPr>
                <w:rFonts w:ascii="Arial" w:cs="Arial" w:eastAsia="Arial" w:hAnsi="Arial"/>
                <w:b w:val="false"/>
                <w:bCs w:val="false"/>
                <w:color w:val="222222"/>
                <w:sz w:val="20"/>
                <w:szCs w:val="20"/>
              </w:rPr>
              <w:t xml:space="preserve">4.4. Лица, обрабатывающие персональные данные по поручению Оператора, обязаны соблюдать принципы и правила обработки, предусмотренные Законом о персональных данных, обеспечивать конфиденциальность и безопасность данных (часть 3 статьи 6 Закона о персональных данных).</w:t>
            </w:r>
          </w:p>
          <w:p>
            <w:pPr>
              <w:spacing w:after="90"/>
              <w:jc w:val="both"/>
            </w:pPr>
            <w:r>
              <w:rPr>
                <w:rFonts w:ascii="Arial" w:cs="Arial" w:eastAsia="Arial" w:hAnsi="Arial"/>
                <w:b w:val="false"/>
                <w:bCs w:val="false"/>
                <w:color w:val="222222"/>
                <w:sz w:val="20"/>
                <w:szCs w:val="20"/>
              </w:rPr>
              <w:t xml:space="preserve">4.5. При обращении в Telegram-бот поддержки, а также при использовании на Сайте и в Личном кабинете сервисов, размещённых за пределами Российской Федерации (в том числе сервиса защиты от автоматических запросов reCAPTCHA и сервиса шрифтов), может осуществляться трансграничная передача технических данных (IP-адрес, сведения о браузере и устройстве) и содержания переписки. Такая передача осуществляется с соблюдением требований статьи 12 Закона о персональных данных.</w:t>
            </w:r>
          </w:p>
          <w:p>
            <w:pPr>
              <w:spacing w:after="90"/>
              <w:jc w:val="both"/>
            </w:pPr>
            <w:r>
              <w:rPr>
                <w:rFonts w:ascii="Arial" w:cs="Arial" w:eastAsia="Arial" w:hAnsi="Arial"/>
                <w:b w:val="false"/>
                <w:bCs w:val="false"/>
                <w:color w:val="222222"/>
                <w:sz w:val="20"/>
                <w:szCs w:val="20"/>
              </w:rPr>
              <w:t xml:space="preserve">4.6. Оператор прекращает обработку и уничтожает персональные данные в сроки, установленные статьёй 21 Закона о персональных данных, при достижении целей обработки, истечении срока действия или отзыве согласия (если обработка основана на согласии), выявлении неправомерной обработки, а также по иным основаниям, предусмотренным законом.</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5. Сроки хранения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5.1. Персональные данные хранятся не дольше, чем этого требуют цели обработки, если более длительный срок не установлен законодательством или договором.</w:t>
            </w:r>
          </w:p>
          <w:p>
            <w:pPr>
              <w:spacing w:after="90"/>
              <w:jc w:val="both"/>
            </w:pPr>
            <w:r>
              <w:rPr>
                <w:rFonts w:ascii="Arial" w:cs="Arial" w:eastAsia="Arial" w:hAnsi="Arial"/>
                <w:b w:val="false"/>
                <w:bCs w:val="false"/>
                <w:color w:val="222222"/>
                <w:sz w:val="20"/>
                <w:szCs w:val="20"/>
              </w:rPr>
              <w:t xml:space="preserve">5.2. Данные Учётной записи и сведения об оказании Услуг хранятся в течение срока действия договора и Учётной записи и не более 5 (пяти) лет после их прекращения — для исполнения требований законодательства и защиты прав Сторон.</w:t>
            </w:r>
          </w:p>
          <w:p>
            <w:pPr>
              <w:spacing w:after="90"/>
              <w:jc w:val="both"/>
            </w:pPr>
            <w:r>
              <w:rPr>
                <w:rFonts w:ascii="Arial" w:cs="Arial" w:eastAsia="Arial" w:hAnsi="Arial"/>
                <w:b w:val="false"/>
                <w:bCs w:val="false"/>
                <w:color w:val="222222"/>
                <w:sz w:val="20"/>
                <w:szCs w:val="20"/>
              </w:rPr>
              <w:t xml:space="preserve">5.3. Первичные учётные и платёжные документы хранятся в течение сроков, установленных законодательством о бухгалтерском учёте и налогах (как правило, не менее 5 (пяти) лет).</w:t>
            </w:r>
          </w:p>
          <w:p>
            <w:pPr>
              <w:spacing w:after="90"/>
              <w:jc w:val="both"/>
            </w:pPr>
            <w:r>
              <w:rPr>
                <w:rFonts w:ascii="Arial" w:cs="Arial" w:eastAsia="Arial" w:hAnsi="Arial"/>
                <w:b w:val="false"/>
                <w:bCs w:val="false"/>
                <w:color w:val="222222"/>
                <w:sz w:val="20"/>
                <w:szCs w:val="20"/>
              </w:rPr>
              <w:t xml:space="preserve">5.4. Технические журналы и журналы безопасности хранятся в соответствии с внутренним регламентом с учётом их назначения и требований законодательства; сведения, связанные с незавершённым инцидентом, спором или расследованием, — до их окончательного разрешения.</w:t>
            </w:r>
          </w:p>
          <w:p>
            <w:pPr>
              <w:spacing w:after="90"/>
              <w:jc w:val="both"/>
            </w:pPr>
            <w:r>
              <w:rPr>
                <w:rFonts w:ascii="Arial" w:cs="Arial" w:eastAsia="Arial" w:hAnsi="Arial"/>
                <w:b w:val="false"/>
                <w:bCs w:val="false"/>
                <w:color w:val="222222"/>
                <w:sz w:val="20"/>
                <w:szCs w:val="20"/>
              </w:rPr>
              <w:t xml:space="preserve">5.5. По истечении сроков хранения персональные данные уничтожаются либо обезличиваются. Резервные копии перезаписываются в ходе штатной ротации.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6. Данные, размещаемые Клиентами на серверах</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6.1. Клиент, который определяет цели и способы обработки персональных данных на арендуемом сервере, является оператором таких данных и самостоятельно отвечает за законность, прозрачность и безопасность их обработки, включая уведомления, согласия и порядок работы с обращениями субъектов.</w:t>
            </w:r>
          </w:p>
          <w:p>
            <w:pPr>
              <w:spacing w:after="90"/>
              <w:jc w:val="both"/>
            </w:pPr>
            <w:r>
              <w:rPr>
                <w:rFonts w:ascii="Arial" w:cs="Arial" w:eastAsia="Arial" w:hAnsi="Arial"/>
                <w:b w:val="false"/>
                <w:bCs w:val="false"/>
                <w:color w:val="222222"/>
                <w:sz w:val="20"/>
                <w:szCs w:val="20"/>
              </w:rPr>
              <w:t xml:space="preserve">6.2. Оператор не осуществляет регулярного просмотра содержимого серверов Клиентов и получает доступ к такому содержимому только в случаях, когда это необходимо для оказания запрошенной Клиентом поддержки, обеспечения безопасности, рассмотрения abuse-обращений или исполнения требований закона. Обработка персональных данных, размещённых Клиентом, по поручению Клиента осуществляется только на основании такого поручения.</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7. Меры защиты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7.1. Оператор принимает правовые, организационные и технические меры, предусмотренные статьями 18.1 и 19 Закона о персональных данных, для защиты персональных данных от неправомерного или случайного доступа, уничтожения, изменения, блокирования, копирования, предоставления и распространения, в том числе: разграничение и контроль доступа, шифрование каналов связи, журналирование событий, защита инфраструктуры, управление уязвимостями, резервное копирование и процедуры реагирования на инциденты.</w:t>
            </w:r>
          </w:p>
          <w:p>
            <w:pPr>
              <w:spacing w:after="90"/>
              <w:jc w:val="both"/>
            </w:pPr>
            <w:r>
              <w:rPr>
                <w:rFonts w:ascii="Arial" w:cs="Arial" w:eastAsia="Arial" w:hAnsi="Arial"/>
                <w:b w:val="false"/>
                <w:bCs w:val="false"/>
                <w:color w:val="222222"/>
                <w:sz w:val="20"/>
                <w:szCs w:val="20"/>
              </w:rPr>
              <w:t xml:space="preserve">7.2. При выявлении факта неправомерной или случайной передачи (предоставления, распространения, доступа) персональных данных, повлекшей нарушение прав субъектов, Оператор уведомляет уполномоченный орган по защите прав субъектов персональных данных в порядке и сроки, установленные частью 3.1 статьи 21 Закона о персональных данных.</w:t>
            </w:r>
          </w:p>
          <w:p>
            <w:pPr>
              <w:spacing w:after="90"/>
              <w:jc w:val="both"/>
            </w:pPr>
            <w:r>
              <w:rPr>
                <w:rFonts w:ascii="Arial" w:cs="Arial" w:eastAsia="Arial" w:hAnsi="Arial"/>
                <w:b w:val="false"/>
                <w:bCs w:val="false"/>
                <w:color w:val="222222"/>
                <w:sz w:val="20"/>
                <w:szCs w:val="20"/>
              </w:rPr>
              <w:t xml:space="preserve">7.3. Субъект самостоятельно обеспечивает сохранность данных для доступа к Учётной записи и серверу и использует доступные средства защиты.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8. Права субъекта персональных данных</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8.1. Субъект вправе получать сведения об обработке своих персональных данных, требовать их уточнения, блокирования или уничтожения, если данные являются неполными, устаревшими, неточными, незаконно полученными или не являются необходимыми для заявленной цели, отозвать согласие на обработку (если обработка основана на согласии), а также обжаловать действия или бездействие Оператора в уполномоченном органе по защите прав субъектов персональных данных (Роскомнадзор) или в судебном порядке.</w:t>
            </w:r>
          </w:p>
          <w:p>
            <w:pPr>
              <w:spacing w:after="90"/>
              <w:jc w:val="both"/>
            </w:pPr>
            <w:r>
              <w:rPr>
                <w:rFonts w:ascii="Arial" w:cs="Arial" w:eastAsia="Arial" w:hAnsi="Arial"/>
                <w:b w:val="false"/>
                <w:bCs w:val="false"/>
                <w:color w:val="222222"/>
                <w:sz w:val="20"/>
                <w:szCs w:val="20"/>
              </w:rPr>
              <w:t xml:space="preserve">8.2. Запросы и обращения направляются через Тикет-систему в Личном кабинете (https://my.salevps.net/billing.php?do=tickets), по адресу электронной почты support@salevps.net или почтовым отправлением по адресу Оператора, указанному в пункте 1.2. Запрос должен содержать сведения, позволяющие идентифицировать субъекта и подтвердить его участие в отношениях с Оператором (статья 14 Закона о персональных данных).</w:t>
            </w:r>
          </w:p>
          <w:p>
            <w:pPr>
              <w:spacing w:after="90"/>
              <w:jc w:val="both"/>
            </w:pPr>
            <w:r>
              <w:rPr>
                <w:rFonts w:ascii="Arial" w:cs="Arial" w:eastAsia="Arial" w:hAnsi="Arial"/>
                <w:b w:val="false"/>
                <w:bCs w:val="false"/>
                <w:color w:val="222222"/>
                <w:sz w:val="20"/>
                <w:szCs w:val="20"/>
              </w:rPr>
              <w:t xml:space="preserve">8.3. Оператор предоставляет ответ в течение 10 (десяти) рабочих дней с даты получения запроса. Срок может быть продлён не более чем на 5 (пять) рабочих дней с направлением субъекту мотивированного уведомления.</w:t>
            </w:r>
          </w:p>
          <w:p>
            <w:pPr>
              <w:spacing w:after="90"/>
              <w:jc w:val="both"/>
            </w:pPr>
            <w:r>
              <w:rPr>
                <w:rFonts w:ascii="Arial" w:cs="Arial" w:eastAsia="Arial" w:hAnsi="Arial"/>
                <w:b w:val="false"/>
                <w:bCs w:val="false"/>
                <w:color w:val="222222"/>
                <w:sz w:val="20"/>
                <w:szCs w:val="20"/>
              </w:rPr>
              <w:t xml:space="preserve">8.4. Отзыв согласия на получение рекламных и информационных сообщений не влияет на направление сообщений, необходимых для исполнения договора (счета, уведомления о безопасности, доступности, технических работах и состоянии Учётной записи).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9. Несовершеннолетние</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9.1. Сайт и Услуги не предназначены для лиц младше 18 (восемнадцати) лет. Оператор не заключает договоры с несовершеннолетними и не осуществляет намеренный сбор их персональных данных. Если Оператору станет известно о получении таких данных без законных оснований, они будут уничтожены.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10. Заключительные положения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10.1. Оператор вправе изменять настоящую Политику. Новая редакция вступает в силу с момента её публикации на Сайте, если иное не предусмотрено новой редакцией.</w:t>
            </w:r>
          </w:p>
          <w:p>
            <w:pPr>
              <w:spacing w:after="90"/>
              <w:jc w:val="both"/>
            </w:pPr>
            <w:r>
              <w:rPr>
                <w:rFonts w:ascii="Arial" w:cs="Arial" w:eastAsia="Arial" w:hAnsi="Arial"/>
                <w:b w:val="false"/>
                <w:bCs w:val="false"/>
                <w:color w:val="222222"/>
                <w:sz w:val="20"/>
                <w:szCs w:val="20"/>
              </w:rPr>
              <w:t xml:space="preserve">10.2. Актуальная редакция Политики постоянно доступна на Сайте.</w:t>
            </w:r>
          </w:p>
          <w:p>
            <w:pPr>
              <w:spacing w:after="90"/>
              <w:jc w:val="both"/>
            </w:pPr>
            <w:r>
              <w:rPr>
                <w:rFonts w:ascii="Arial" w:cs="Arial" w:eastAsia="Arial" w:hAnsi="Arial"/>
                <w:b w:val="false"/>
                <w:bCs w:val="false"/>
                <w:color w:val="222222"/>
                <w:sz w:val="20"/>
                <w:szCs w:val="20"/>
              </w:rPr>
              <w:t xml:space="preserve">10.3. По вопросам, связанным с обработкой персональных данных, можно обратиться к Оператору способами, указанными в пункте 8.2.</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11. Реквизиты Оператора</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Общество с ограниченной ответственностью «ИТБОТС» (ООО «ИТБОТС»)</w:t>
            </w:r>
          </w:p>
          <w:p>
            <w:pPr>
              <w:spacing w:after="90"/>
              <w:jc w:val="both"/>
            </w:pPr>
            <w:r>
              <w:rPr>
                <w:rFonts w:ascii="Arial" w:cs="Arial" w:eastAsia="Arial" w:hAnsi="Arial"/>
                <w:b w:val="false"/>
                <w:bCs w:val="false"/>
                <w:color w:val="222222"/>
                <w:sz w:val="20"/>
                <w:szCs w:val="20"/>
              </w:rPr>
              <w:t xml:space="preserve">ИНН: 4703185659</w:t>
            </w:r>
          </w:p>
          <w:p>
            <w:pPr>
              <w:spacing w:after="90"/>
              <w:jc w:val="both"/>
            </w:pPr>
            <w:r>
              <w:rPr>
                <w:rFonts w:ascii="Arial" w:cs="Arial" w:eastAsia="Arial" w:hAnsi="Arial"/>
                <w:b w:val="false"/>
                <w:bCs w:val="false"/>
                <w:color w:val="222222"/>
                <w:sz w:val="20"/>
                <w:szCs w:val="20"/>
              </w:rPr>
              <w:t xml:space="preserve">ОГРН: 1214700014275</w:t>
            </w:r>
          </w:p>
          <w:p>
            <w:pPr>
              <w:spacing w:after="90"/>
              <w:jc w:val="both"/>
            </w:pPr>
            <w:r>
              <w:rPr>
                <w:rFonts w:ascii="Arial" w:cs="Arial" w:eastAsia="Arial" w:hAnsi="Arial"/>
                <w:b w:val="false"/>
                <w:bCs w:val="false"/>
                <w:color w:val="222222"/>
                <w:sz w:val="20"/>
                <w:szCs w:val="20"/>
              </w:rPr>
              <w:t xml:space="preserve">Адрес: 188678, Ленинградская область, Всеволожский р-н, г. Мурино, ул. Шоссе в Лаврики, д. 59, к. 2, кв. 887</w:t>
            </w:r>
          </w:p>
          <w:p>
            <w:pPr>
              <w:spacing w:after="90"/>
              <w:jc w:val="both"/>
            </w:pPr>
            <w:r>
              <w:rPr>
                <w:rFonts w:ascii="Arial" w:cs="Arial" w:eastAsia="Arial" w:hAnsi="Arial"/>
                <w:b w:val="false"/>
                <w:bCs w:val="false"/>
                <w:color w:val="222222"/>
                <w:sz w:val="20"/>
                <w:szCs w:val="20"/>
              </w:rPr>
              <w:t xml:space="preserve">Адрес электронной почты: support@salevps.net</w:t>
            </w:r>
          </w:p>
          <w:p>
            <w:pPr>
              <w:spacing w:after="90"/>
              <w:jc w:val="both"/>
            </w:pPr>
            <w:r>
              <w:rPr>
                <w:rFonts w:ascii="Arial" w:cs="Arial" w:eastAsia="Arial" w:hAnsi="Arial"/>
                <w:b w:val="false"/>
                <w:bCs w:val="false"/>
                <w:color w:val="222222"/>
                <w:sz w:val="20"/>
                <w:szCs w:val="20"/>
              </w:rPr>
              <w:t xml:space="preserve">Сайт: https://salevps.net</w:t>
            </w:r>
          </w:p>
        </w:tc>
      </w:tr>
    </w:tbl>
    <w:sectPr>
      <w:headerReference w:type="default" r:id="rId7"/>
      <w:footerReference w:type="default" r:id="rId8"/>
      <w:pgSz w:w="16838" w:h="11906" w:orient="landscape"/>
      <w:pgMar w:top="700" w:right="850" w:bottom="7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88888"/>
        <w:sz w:val="16"/>
        <w:szCs w:val="16"/>
      </w:rPr>
      <w:t xml:space="preserve">Политика обработки ПД SaleVPS.net (ООО «ИТБОТС»)  •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t xml:space="preserve">  </w:t>
    </w:r>
    <w:r>
      <w:rPr>
        <w:rFonts w:ascii="Arial" w:cs="Arial" w:eastAsia="Arial" w:hAnsi="Arial"/>
        <w:position w:val="8"/>
        <w:b/>
        <w:bCs/>
        <w:color w:val="161C2D"/>
        <w:sz w:val="30"/>
        <w:szCs w:val="30"/>
      </w:rPr>
      <w:t xml:space="preserve">Sale</w:t>
    </w:r>
    <w:r>
      <w:rPr>
        <w:rFonts w:ascii="Arial" w:cs="Arial" w:eastAsia="Arial" w:hAnsi="Arial"/>
        <w:position w:val="8"/>
        <w:b/>
        <w:bCs/>
        <w:color w:val="38B1ED"/>
        <w:sz w:val="30"/>
        <w:szCs w:val="30"/>
      </w:rPr>
      <w:t xml:space="preserve">VPS</w:t>
    </w:r>
    <w:r>
      <w:rPr>
        <w:rFonts w:ascii="Arial" w:cs="Arial" w:eastAsia="Arial" w:hAnsi="Arial"/>
        <w:position w:val="8"/>
        <w:b/>
        <w:bCs/>
        <w:color w:val="6D7C90"/>
        <w:sz w:val="22"/>
        <w:szCs w:val="22"/>
      </w:rPr>
      <w:t xml:space="preserve">.net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40b39d299da302e5947cdab7520fac804f070e1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SaleVPS.net</dc:title>
  <dc:creator>ООО «ИТБОТС»</dc:creator>
  <cp:lastModifiedBy>ООО «ИТБОТС»</cp:lastModifiedBy>
  <cp:revision>1</cp:revision>
  <dcterms:created xsi:type="dcterms:W3CDTF">2026-07-28T14:41:42.185Z</dcterms:created>
  <dcterms:modified xsi:type="dcterms:W3CDTF">2026-11-03T07:55:24.842Z</dcterms:modified>
</cp:coreProperties>
</file>

<file path=docProps/custom.xml><?xml version="1.0" encoding="utf-8"?>
<Properties xmlns="http://schemas.openxmlformats.org/officeDocument/2006/custom-properties" xmlns:vt="http://schemas.openxmlformats.org/officeDocument/2006/docPropsVTypes"/>
</file>